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792BA" w14:textId="4A427749" w:rsidR="00AA39AE" w:rsidRPr="00972C7F" w:rsidRDefault="00AA39AE" w:rsidP="00AA39AE">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3GPP TSG-</w:t>
      </w:r>
      <w:r w:rsidRPr="00972C7F">
        <w:rPr>
          <w:rFonts w:ascii="Calibri" w:eastAsia="新細明體" w:hAnsi="Calibri" w:cs="Arial"/>
          <w:noProof w:val="0"/>
          <w:sz w:val="24"/>
          <w:szCs w:val="24"/>
          <w:lang w:eastAsia="ja-JP"/>
        </w:rPr>
        <w:t xml:space="preserve">RAN WG4 Meeting #93                 </w:t>
      </w:r>
      <w:r w:rsidRPr="00972C7F">
        <w:rPr>
          <w:rFonts w:ascii="Calibri" w:eastAsia="新細明體" w:hAnsi="Calibri" w:cs="Arial"/>
          <w:noProof w:val="0"/>
          <w:sz w:val="24"/>
          <w:szCs w:val="24"/>
          <w:lang w:eastAsia="ja-JP"/>
        </w:rPr>
        <w:tab/>
        <w:t xml:space="preserve"> </w:t>
      </w:r>
      <w:r w:rsidR="00972C7F" w:rsidRPr="00972C7F">
        <w:rPr>
          <w:rFonts w:ascii="Calibri" w:eastAsia="新細明體" w:hAnsi="Calibri" w:cs="Arial"/>
          <w:noProof w:val="0"/>
          <w:sz w:val="24"/>
          <w:szCs w:val="24"/>
          <w:lang w:eastAsia="ja-JP"/>
        </w:rPr>
        <w:t>R4-1913595</w:t>
      </w:r>
    </w:p>
    <w:p w14:paraId="01532F40" w14:textId="55B4CAE7" w:rsidR="00F20E93" w:rsidRPr="00972C7F" w:rsidRDefault="00AA39AE" w:rsidP="00AA39AE">
      <w:pPr>
        <w:pStyle w:val="CRCoverPage"/>
        <w:outlineLvl w:val="0"/>
        <w:rPr>
          <w:rFonts w:ascii="Calibri" w:eastAsia="新細明體" w:hAnsi="Calibri"/>
          <w:sz w:val="24"/>
          <w:lang w:eastAsia="zh-TW"/>
        </w:rPr>
      </w:pPr>
      <w:r w:rsidRPr="00972C7F">
        <w:rPr>
          <w:rFonts w:ascii="Calibri" w:eastAsia="新細明體" w:hAnsi="Calibri" w:cs="Arial"/>
          <w:b/>
          <w:sz w:val="24"/>
          <w:szCs w:val="24"/>
          <w:lang w:eastAsia="ja-JP"/>
        </w:rPr>
        <w:t>Reno, USA, 18</w:t>
      </w:r>
      <w:r w:rsidRPr="00972C7F">
        <w:rPr>
          <w:rFonts w:ascii="Calibri" w:eastAsia="新細明體" w:hAnsi="Calibri" w:cs="Arial"/>
          <w:b/>
          <w:sz w:val="24"/>
          <w:szCs w:val="24"/>
          <w:vertAlign w:val="superscript"/>
          <w:lang w:eastAsia="ja-JP"/>
        </w:rPr>
        <w:t>th</w:t>
      </w:r>
      <w:r w:rsidRPr="00972C7F">
        <w:rPr>
          <w:rFonts w:ascii="Calibri" w:eastAsia="新細明體" w:hAnsi="Calibri" w:cs="Arial"/>
          <w:b/>
          <w:sz w:val="24"/>
          <w:szCs w:val="24"/>
          <w:lang w:eastAsia="ja-JP"/>
        </w:rPr>
        <w:t xml:space="preserve"> – 22</w:t>
      </w:r>
      <w:r w:rsidRPr="00972C7F">
        <w:rPr>
          <w:rFonts w:ascii="Calibri" w:eastAsia="新細明體" w:hAnsi="Calibri" w:cs="Arial"/>
          <w:b/>
          <w:sz w:val="24"/>
          <w:szCs w:val="24"/>
          <w:vertAlign w:val="superscript"/>
          <w:lang w:eastAsia="ja-JP"/>
        </w:rPr>
        <w:t>nd</w:t>
      </w:r>
      <w:r w:rsidRPr="00972C7F">
        <w:rPr>
          <w:rFonts w:ascii="Calibri" w:eastAsia="新細明體" w:hAnsi="Calibri" w:cs="Arial"/>
          <w:b/>
          <w:sz w:val="24"/>
          <w:szCs w:val="24"/>
          <w:lang w:eastAsia="ja-JP"/>
        </w:rPr>
        <w:t xml:space="preserve"> Nov, 2019</w:t>
      </w:r>
      <w:r w:rsidR="00F20E93" w:rsidRPr="00972C7F">
        <w:rPr>
          <w:rFonts w:ascii="Calibri" w:eastAsia="新細明體" w:hAnsi="Calibri" w:cs="Calibri"/>
          <w:b/>
          <w:sz w:val="24"/>
          <w:szCs w:val="24"/>
          <w:lang w:eastAsia="ja-JP"/>
        </w:rPr>
        <w:t xml:space="preserve"> </w:t>
      </w:r>
    </w:p>
    <w:p w14:paraId="1CAD8A83" w14:textId="7D109D52" w:rsidR="00811EEE" w:rsidRPr="00972C7F" w:rsidRDefault="00811EEE" w:rsidP="00811EEE">
      <w:pPr>
        <w:ind w:left="1985" w:hanging="1985"/>
        <w:rPr>
          <w:rFonts w:eastAsia="新細明體" w:cs="Arial"/>
          <w:b/>
          <w:bCs/>
          <w:lang w:eastAsia="zh-TW"/>
        </w:rPr>
      </w:pPr>
      <w:r w:rsidRPr="00972C7F">
        <w:rPr>
          <w:rFonts w:cs="Arial"/>
          <w:b/>
          <w:bCs/>
        </w:rPr>
        <w:t>Agenda Item:</w:t>
      </w:r>
      <w:r w:rsidRPr="00972C7F">
        <w:rPr>
          <w:rFonts w:cs="Arial"/>
          <w:b/>
          <w:bCs/>
        </w:rPr>
        <w:tab/>
      </w:r>
      <w:r w:rsidR="00721B0D" w:rsidRPr="00972C7F">
        <w:rPr>
          <w:rFonts w:cs="Arial"/>
          <w:b/>
          <w:bCs/>
        </w:rPr>
        <w:t>12</w:t>
      </w:r>
    </w:p>
    <w:p w14:paraId="68E291BE" w14:textId="77777777" w:rsidR="0034111C" w:rsidRPr="00972C7F" w:rsidRDefault="0034111C" w:rsidP="00A37145">
      <w:pPr>
        <w:ind w:left="1985" w:hanging="1985"/>
        <w:rPr>
          <w:rFonts w:cs="Arial"/>
          <w:b/>
          <w:bCs/>
        </w:rPr>
      </w:pPr>
      <w:r w:rsidRPr="00972C7F">
        <w:rPr>
          <w:rFonts w:cs="Arial"/>
          <w:b/>
          <w:bCs/>
        </w:rPr>
        <w:t>Source:</w:t>
      </w:r>
      <w:r w:rsidRPr="00972C7F">
        <w:rPr>
          <w:rFonts w:cs="Arial"/>
          <w:b/>
          <w:bCs/>
        </w:rPr>
        <w:tab/>
      </w:r>
      <w:r w:rsidR="002E58D2" w:rsidRPr="00972C7F">
        <w:rPr>
          <w:rFonts w:cs="Arial"/>
          <w:b/>
          <w:bCs/>
        </w:rPr>
        <w:t>MediaTek Inc.</w:t>
      </w:r>
    </w:p>
    <w:p w14:paraId="56FE282C" w14:textId="1884A1AE" w:rsidR="00174EC2" w:rsidRPr="00972C7F" w:rsidRDefault="0034111C" w:rsidP="007A4FCF">
      <w:pPr>
        <w:ind w:left="1985" w:hanging="1985"/>
        <w:rPr>
          <w:rFonts w:cs="Arial"/>
          <w:b/>
          <w:bCs/>
        </w:rPr>
      </w:pPr>
      <w:r w:rsidRPr="00972C7F">
        <w:rPr>
          <w:rFonts w:cs="Arial"/>
          <w:b/>
          <w:bCs/>
        </w:rPr>
        <w:t>Title:</w:t>
      </w:r>
      <w:r w:rsidRPr="00972C7F">
        <w:rPr>
          <w:rFonts w:cs="Arial"/>
          <w:b/>
          <w:bCs/>
        </w:rPr>
        <w:tab/>
      </w:r>
      <w:r w:rsidR="00721B0D" w:rsidRPr="00972C7F">
        <w:rPr>
          <w:rFonts w:cs="Arial"/>
          <w:b/>
          <w:bCs/>
        </w:rPr>
        <w:t>Discussion on legacy impact due to dual SMTC in IDLE mode</w:t>
      </w:r>
      <w:r w:rsidR="00C26262" w:rsidRPr="00972C7F">
        <w:rPr>
          <w:rFonts w:cs="Arial"/>
          <w:b/>
          <w:bCs/>
        </w:rPr>
        <w:t xml:space="preserve"> </w:t>
      </w:r>
    </w:p>
    <w:p w14:paraId="6F580D61" w14:textId="5BDE6305" w:rsidR="0034111C" w:rsidRPr="00972C7F" w:rsidRDefault="0034111C" w:rsidP="007A4FCF">
      <w:pPr>
        <w:ind w:left="1985" w:hanging="1985"/>
        <w:rPr>
          <w:rFonts w:cs="Arial"/>
          <w:b/>
          <w:bCs/>
        </w:rPr>
      </w:pPr>
      <w:r w:rsidRPr="00972C7F">
        <w:rPr>
          <w:rFonts w:cs="Arial"/>
          <w:b/>
          <w:bCs/>
        </w:rPr>
        <w:t>Document for:</w:t>
      </w:r>
      <w:r w:rsidRPr="00972C7F">
        <w:rPr>
          <w:rFonts w:cs="Arial"/>
          <w:b/>
          <w:bCs/>
        </w:rPr>
        <w:tab/>
      </w:r>
      <w:r w:rsidRPr="00972C7F">
        <w:rPr>
          <w:rFonts w:cs="Arial"/>
          <w:b/>
          <w:bCs/>
        </w:rPr>
        <w:tab/>
      </w:r>
      <w:r w:rsidR="00FA62EA" w:rsidRPr="00972C7F">
        <w:rPr>
          <w:rFonts w:cs="Arial"/>
          <w:b/>
          <w:bCs/>
        </w:rPr>
        <w:t>Discussion</w:t>
      </w:r>
    </w:p>
    <w:p w14:paraId="20062393" w14:textId="77777777" w:rsidR="0034111C" w:rsidRPr="00972C7F" w:rsidRDefault="0034111C" w:rsidP="0012659B">
      <w:pPr>
        <w:pStyle w:val="Heading1"/>
        <w:numPr>
          <w:ilvl w:val="0"/>
          <w:numId w:val="1"/>
        </w:numPr>
        <w:rPr>
          <w:rFonts w:ascii="Calibri" w:hAnsi="Calibri"/>
          <w:lang w:eastAsia="zh-CN"/>
        </w:rPr>
      </w:pPr>
      <w:r w:rsidRPr="00972C7F">
        <w:rPr>
          <w:rFonts w:ascii="Calibri" w:hAnsi="Calibri"/>
        </w:rPr>
        <w:tab/>
      </w:r>
      <w:r w:rsidR="00EE7FA7" w:rsidRPr="00972C7F">
        <w:rPr>
          <w:rFonts w:ascii="Calibri" w:hAnsi="Calibri"/>
        </w:rPr>
        <w:t>Introduction</w:t>
      </w:r>
    </w:p>
    <w:p w14:paraId="744071BA" w14:textId="2CC58BAB" w:rsidR="00A2768E" w:rsidRDefault="00A2768E" w:rsidP="007A456D">
      <w:pPr>
        <w:jc w:val="both"/>
      </w:pPr>
      <w:r>
        <w:t xml:space="preserve">In </w:t>
      </w:r>
      <w:r w:rsidR="00721B0D">
        <w:t xml:space="preserve">last meeting, RAN4 received an LS [1] from RAN2 on the issue of </w:t>
      </w:r>
      <w:r w:rsidR="00721B0D" w:rsidRPr="00721B0D">
        <w:t>second SMTC periodicity in idle mode</w:t>
      </w:r>
      <w:r w:rsidR="00721B0D">
        <w:t>. In the same meeting, RAN4 replied one LS [2] back to RAN2.</w:t>
      </w:r>
      <w:r w:rsidR="00A30AE7">
        <w:t xml:space="preserve"> In [2], a concern on legacy impact was mentioned.</w:t>
      </w:r>
    </w:p>
    <w:tbl>
      <w:tblPr>
        <w:tblStyle w:val="TableGrid"/>
        <w:tblW w:w="0" w:type="auto"/>
        <w:tblInd w:w="279" w:type="dxa"/>
        <w:tblLook w:val="04A0" w:firstRow="1" w:lastRow="0" w:firstColumn="1" w:lastColumn="0" w:noHBand="0" w:noVBand="1"/>
      </w:tblPr>
      <w:tblGrid>
        <w:gridCol w:w="8930"/>
      </w:tblGrid>
      <w:tr w:rsidR="00A30AE7" w14:paraId="3C69ABE8" w14:textId="77777777" w:rsidTr="00A1379A">
        <w:tc>
          <w:tcPr>
            <w:tcW w:w="8930" w:type="dxa"/>
          </w:tcPr>
          <w:p w14:paraId="3CF4BFD1" w14:textId="77777777" w:rsidR="00A30AE7" w:rsidRPr="00A30AE7" w:rsidRDefault="00A30AE7" w:rsidP="00A30AE7">
            <w:pPr>
              <w:spacing w:after="120"/>
              <w:rPr>
                <w:rFonts w:ascii="Arial" w:hAnsi="Arial" w:cs="Arial"/>
                <w:sz w:val="18"/>
                <w:lang w:eastAsia="ko-KR"/>
              </w:rPr>
            </w:pPr>
            <w:r w:rsidRPr="00A30AE7">
              <w:rPr>
                <w:rFonts w:ascii="Arial" w:hAnsi="Arial" w:cs="Arial"/>
                <w:b/>
                <w:bCs/>
                <w:sz w:val="18"/>
              </w:rPr>
              <w:t>Question 1:</w:t>
            </w:r>
            <w:r w:rsidRPr="00A30AE7">
              <w:rPr>
                <w:rFonts w:ascii="Arial" w:hAnsi="Arial" w:cs="Arial"/>
                <w:sz w:val="18"/>
              </w:rPr>
              <w:t xml:space="preserve"> </w:t>
            </w:r>
            <w:r w:rsidRPr="00A30AE7">
              <w:rPr>
                <w:rFonts w:ascii="Arial" w:hAnsi="Arial" w:cs="Arial"/>
                <w:sz w:val="18"/>
                <w:lang w:eastAsia="ko-KR"/>
              </w:rPr>
              <w:t>Does the introduction of a second SMTC for idle mode measurements have any impact to RAN4 core requirements?</w:t>
            </w:r>
          </w:p>
          <w:p w14:paraId="146F9B48" w14:textId="77777777" w:rsidR="00A30AE7" w:rsidRPr="00A30AE7" w:rsidRDefault="00A30AE7" w:rsidP="00A30AE7">
            <w:pPr>
              <w:spacing w:after="120"/>
              <w:jc w:val="both"/>
              <w:rPr>
                <w:rFonts w:ascii="Arial" w:hAnsi="Arial" w:cs="Arial"/>
                <w:sz w:val="18"/>
              </w:rPr>
            </w:pPr>
            <w:r w:rsidRPr="00A30AE7">
              <w:rPr>
                <w:rFonts w:ascii="Arial" w:hAnsi="Arial" w:cs="Arial"/>
                <w:sz w:val="18"/>
              </w:rPr>
              <w:t xml:space="preserve">[RAN4 reply]: </w:t>
            </w:r>
          </w:p>
          <w:p w14:paraId="18A4D148" w14:textId="77777777" w:rsidR="00A30AE7" w:rsidRPr="00A30AE7" w:rsidRDefault="00A30AE7" w:rsidP="00A30AE7">
            <w:pPr>
              <w:spacing w:after="120"/>
              <w:jc w:val="both"/>
              <w:rPr>
                <w:rFonts w:ascii="Arial" w:hAnsi="Arial" w:cs="Arial"/>
                <w:sz w:val="18"/>
                <w:lang w:eastAsia="ko-KR"/>
              </w:rPr>
            </w:pPr>
            <w:r w:rsidRPr="00A30AE7">
              <w:rPr>
                <w:rFonts w:ascii="Arial" w:hAnsi="Arial" w:cs="Arial"/>
                <w:sz w:val="18"/>
                <w:lang w:eastAsia="ko-KR"/>
              </w:rPr>
              <w:t xml:space="preserve">RAN4 idle mode requirements are already accounting for SMTC periodicities {5,10,20,40,80,160} ms, duration {1, 2, 3, 4, 5} ms, and any offset within the configured periodicity in the UE measurement and performance requirements. Since the second SMTC uses the same set of periodicities, durations and offsets, there is only a minor impact on RAN4 core requirements that can be decided once RAN2 has concluded on the second SMTC periodicity value. </w:t>
            </w:r>
          </w:p>
          <w:p w14:paraId="6638774A" w14:textId="77777777" w:rsidR="00A30AE7" w:rsidRPr="00A30AE7" w:rsidRDefault="00A30AE7" w:rsidP="00A30AE7">
            <w:pPr>
              <w:spacing w:after="120"/>
              <w:jc w:val="both"/>
              <w:rPr>
                <w:rFonts w:ascii="Arial" w:hAnsi="Arial" w:cs="Arial"/>
                <w:sz w:val="18"/>
                <w:lang w:eastAsia="ko-KR"/>
              </w:rPr>
            </w:pPr>
            <w:r w:rsidRPr="00A30AE7">
              <w:rPr>
                <w:rFonts w:ascii="Arial" w:hAnsi="Arial" w:cs="Arial"/>
                <w:b/>
                <w:bCs/>
                <w:sz w:val="18"/>
              </w:rPr>
              <w:t>Question 2:</w:t>
            </w:r>
            <w:r w:rsidRPr="00A30AE7">
              <w:rPr>
                <w:rFonts w:ascii="Arial" w:hAnsi="Arial" w:cs="Arial"/>
                <w:sz w:val="18"/>
              </w:rPr>
              <w:t xml:space="preserve"> </w:t>
            </w:r>
            <w:r w:rsidRPr="00A30AE7">
              <w:rPr>
                <w:rFonts w:ascii="Arial" w:hAnsi="Arial" w:cs="Arial"/>
                <w:sz w:val="18"/>
                <w:lang w:eastAsia="ko-KR"/>
              </w:rPr>
              <w:t>Can it be addressed in Rel-16 both for intra and inter-frequency scenarios?</w:t>
            </w:r>
          </w:p>
          <w:p w14:paraId="1F453757" w14:textId="77777777" w:rsidR="00A30AE7" w:rsidRPr="00A30AE7" w:rsidRDefault="00A30AE7" w:rsidP="00A30AE7">
            <w:pPr>
              <w:spacing w:after="120"/>
              <w:jc w:val="both"/>
              <w:rPr>
                <w:rFonts w:ascii="Arial" w:hAnsi="Arial" w:cs="Arial"/>
                <w:sz w:val="18"/>
              </w:rPr>
            </w:pPr>
            <w:r w:rsidRPr="00A30AE7">
              <w:rPr>
                <w:rFonts w:ascii="Arial" w:hAnsi="Arial" w:cs="Arial"/>
                <w:sz w:val="18"/>
              </w:rPr>
              <w:t>[RAN4 reply]: It can be</w:t>
            </w:r>
            <w:r w:rsidRPr="00A30AE7">
              <w:rPr>
                <w:rFonts w:ascii="Arial" w:hAnsi="Arial" w:cs="Arial"/>
                <w:sz w:val="18"/>
                <w:lang w:eastAsia="ko-KR"/>
              </w:rPr>
              <w:t xml:space="preserve"> addressed in Rel-16 both for intra and inter-frequency scenarios from RAN4 point of view. </w:t>
            </w:r>
          </w:p>
          <w:p w14:paraId="7AB63DB1" w14:textId="315F2DA5" w:rsidR="00A30AE7" w:rsidRDefault="00A30AE7" w:rsidP="00A30AE7">
            <w:pPr>
              <w:jc w:val="both"/>
            </w:pPr>
            <w:r w:rsidRPr="00A30AE7">
              <w:rPr>
                <w:rFonts w:ascii="Arial" w:hAnsi="Arial" w:cs="Arial"/>
                <w:sz w:val="18"/>
                <w:highlight w:val="yellow"/>
              </w:rPr>
              <w:t>Some companies expressed concerns about possible impact on legacy UE idle mode behaviour that should be further analysed.</w:t>
            </w:r>
          </w:p>
        </w:tc>
      </w:tr>
    </w:tbl>
    <w:p w14:paraId="0E1377B7" w14:textId="5E656EDF" w:rsidR="00A30AE7" w:rsidRDefault="00A30AE7" w:rsidP="007A456D">
      <w:pPr>
        <w:jc w:val="both"/>
      </w:pPr>
      <w:r>
        <w:t>In this paper, we provide our analysis on legacy impact.</w:t>
      </w:r>
    </w:p>
    <w:p w14:paraId="3D60433C" w14:textId="3C7A51C4" w:rsidR="00EF47B0" w:rsidRPr="000C45FD" w:rsidRDefault="00721B0D" w:rsidP="0012659B">
      <w:pPr>
        <w:pStyle w:val="Heading1"/>
        <w:numPr>
          <w:ilvl w:val="0"/>
          <w:numId w:val="1"/>
        </w:numPr>
        <w:rPr>
          <w:rFonts w:ascii="Calibri" w:hAnsi="Calibri"/>
          <w:lang w:eastAsia="zh-CN"/>
        </w:rPr>
      </w:pPr>
      <w:r>
        <w:t>Discussion</w:t>
      </w:r>
    </w:p>
    <w:p w14:paraId="5F055AE7" w14:textId="7DCFEFDF" w:rsidR="00DF3360" w:rsidRDefault="005077E3" w:rsidP="003D6BAB">
      <w:pPr>
        <w:pStyle w:val="Caption"/>
        <w:jc w:val="both"/>
        <w:rPr>
          <w:b w:val="0"/>
          <w:sz w:val="22"/>
          <w:szCs w:val="22"/>
          <w:lang w:val="en-US" w:eastAsia="zh-CN"/>
        </w:rPr>
      </w:pPr>
      <w:r w:rsidRPr="005077E3">
        <w:rPr>
          <w:b w:val="0"/>
          <w:sz w:val="22"/>
          <w:szCs w:val="22"/>
          <w:lang w:val="en-US" w:eastAsia="zh-CN"/>
        </w:rPr>
        <w:t>To add</w:t>
      </w:r>
      <w:r w:rsidR="00876620">
        <w:rPr>
          <w:b w:val="0"/>
          <w:sz w:val="22"/>
          <w:szCs w:val="22"/>
          <w:lang w:val="en-US" w:eastAsia="zh-CN"/>
        </w:rPr>
        <w:t>ress</w:t>
      </w:r>
      <w:r>
        <w:rPr>
          <w:b w:val="0"/>
          <w:sz w:val="22"/>
          <w:szCs w:val="22"/>
          <w:lang w:val="en-US" w:eastAsia="zh-CN"/>
        </w:rPr>
        <w:t xml:space="preserve"> the concern on network power consumption, one idea is to allow </w:t>
      </w:r>
      <w:r w:rsidR="003D6BAB">
        <w:rPr>
          <w:b w:val="0"/>
          <w:sz w:val="22"/>
          <w:szCs w:val="22"/>
          <w:lang w:val="en-US" w:eastAsia="zh-CN"/>
        </w:rPr>
        <w:t>gNB</w:t>
      </w:r>
      <w:r>
        <w:rPr>
          <w:b w:val="0"/>
          <w:sz w:val="22"/>
          <w:szCs w:val="22"/>
          <w:lang w:val="en-US" w:eastAsia="zh-CN"/>
        </w:rPr>
        <w:t xml:space="preserve"> to transmit broadcast message less frequently when there are not many users in </w:t>
      </w:r>
      <w:r w:rsidR="003D6BAB">
        <w:rPr>
          <w:b w:val="0"/>
          <w:sz w:val="22"/>
          <w:szCs w:val="22"/>
          <w:lang w:val="en-US" w:eastAsia="zh-CN"/>
        </w:rPr>
        <w:t>its coverage. Therefore, a 2</w:t>
      </w:r>
      <w:r w:rsidR="003D6BAB" w:rsidRPr="003D6BAB">
        <w:rPr>
          <w:b w:val="0"/>
          <w:sz w:val="22"/>
          <w:szCs w:val="22"/>
          <w:vertAlign w:val="superscript"/>
          <w:lang w:val="en-US" w:eastAsia="zh-CN"/>
        </w:rPr>
        <w:t>nd</w:t>
      </w:r>
      <w:r w:rsidR="00AA1B1C">
        <w:rPr>
          <w:b w:val="0"/>
          <w:sz w:val="22"/>
          <w:szCs w:val="22"/>
          <w:lang w:val="en-US" w:eastAsia="zh-CN"/>
        </w:rPr>
        <w:t xml:space="preserve"> SMTC was considered </w:t>
      </w:r>
      <w:r w:rsidR="003D6BAB">
        <w:rPr>
          <w:b w:val="0"/>
          <w:sz w:val="22"/>
          <w:szCs w:val="22"/>
          <w:lang w:val="en-US" w:eastAsia="zh-CN"/>
        </w:rPr>
        <w:t>with a longer periodicity than the R15 SMTC</w:t>
      </w:r>
      <w:r w:rsidR="00F44960">
        <w:rPr>
          <w:b w:val="0"/>
          <w:sz w:val="22"/>
          <w:szCs w:val="22"/>
          <w:lang w:val="en-US" w:eastAsia="zh-CN"/>
        </w:rPr>
        <w:t xml:space="preserve"> in SIB</w:t>
      </w:r>
      <w:r w:rsidR="003D6BAB">
        <w:rPr>
          <w:b w:val="0"/>
          <w:sz w:val="22"/>
          <w:szCs w:val="22"/>
          <w:lang w:val="en-US" w:eastAsia="zh-CN"/>
        </w:rPr>
        <w:t xml:space="preserve">. </w:t>
      </w:r>
      <w:r w:rsidR="00AA1B1C">
        <w:rPr>
          <w:b w:val="0"/>
          <w:sz w:val="22"/>
          <w:szCs w:val="22"/>
          <w:lang w:val="en-US" w:eastAsia="zh-CN"/>
        </w:rPr>
        <w:t>A cell</w:t>
      </w:r>
      <w:r w:rsidR="003D6BAB">
        <w:rPr>
          <w:b w:val="0"/>
          <w:sz w:val="22"/>
          <w:szCs w:val="22"/>
          <w:lang w:val="en-US" w:eastAsia="zh-CN"/>
        </w:rPr>
        <w:t xml:space="preserve"> can sometimes adapt to the 2</w:t>
      </w:r>
      <w:r w:rsidR="003D6BAB" w:rsidRPr="003D6BAB">
        <w:rPr>
          <w:b w:val="0"/>
          <w:sz w:val="22"/>
          <w:szCs w:val="22"/>
          <w:vertAlign w:val="superscript"/>
          <w:lang w:val="en-US" w:eastAsia="zh-CN"/>
        </w:rPr>
        <w:t>nd</w:t>
      </w:r>
      <w:r w:rsidR="00AA1B1C">
        <w:rPr>
          <w:b w:val="0"/>
          <w:sz w:val="22"/>
          <w:szCs w:val="22"/>
          <w:lang w:val="en-US" w:eastAsia="zh-CN"/>
        </w:rPr>
        <w:t xml:space="preserve"> SMTC, and its cell ID will be added in the PCI list broadcasted in SIB of neighboring cells. </w:t>
      </w:r>
      <w:r w:rsidR="003D6BAB">
        <w:rPr>
          <w:b w:val="0"/>
          <w:sz w:val="22"/>
          <w:szCs w:val="22"/>
          <w:lang w:val="en-US" w:eastAsia="zh-CN"/>
        </w:rPr>
        <w:t xml:space="preserve">Some detail on how to enable this feature may still not be 100% </w:t>
      </w:r>
      <w:r w:rsidR="006E5C2E">
        <w:rPr>
          <w:b w:val="0"/>
          <w:sz w:val="22"/>
          <w:szCs w:val="22"/>
          <w:lang w:val="en-US" w:eastAsia="zh-CN"/>
        </w:rPr>
        <w:t xml:space="preserve">clear </w:t>
      </w:r>
      <w:r w:rsidR="003D6BAB">
        <w:rPr>
          <w:b w:val="0"/>
          <w:sz w:val="22"/>
          <w:szCs w:val="22"/>
          <w:lang w:val="en-US" w:eastAsia="zh-CN"/>
        </w:rPr>
        <w:t>at this moment. Nevertheless, one thing for sure is th</w:t>
      </w:r>
      <w:r w:rsidR="00AA1B1C">
        <w:rPr>
          <w:b w:val="0"/>
          <w:sz w:val="22"/>
          <w:szCs w:val="22"/>
          <w:lang w:val="en-US" w:eastAsia="zh-CN"/>
        </w:rPr>
        <w:t>at</w:t>
      </w:r>
      <w:r w:rsidR="003D6BAB">
        <w:rPr>
          <w:b w:val="0"/>
          <w:sz w:val="22"/>
          <w:szCs w:val="22"/>
          <w:lang w:val="en-US" w:eastAsia="zh-CN"/>
        </w:rPr>
        <w:t xml:space="preserve"> legacy UE is not able to understand anything about the </w:t>
      </w:r>
      <w:r w:rsidR="00A300DB">
        <w:rPr>
          <w:b w:val="0"/>
          <w:sz w:val="22"/>
          <w:szCs w:val="22"/>
          <w:lang w:val="en-US" w:eastAsia="zh-CN"/>
        </w:rPr>
        <w:t xml:space="preserve">R16 </w:t>
      </w:r>
      <w:bookmarkStart w:id="0" w:name="_GoBack"/>
      <w:bookmarkEnd w:id="0"/>
      <w:r w:rsidR="003D6BAB">
        <w:rPr>
          <w:b w:val="0"/>
          <w:sz w:val="22"/>
          <w:szCs w:val="22"/>
          <w:lang w:val="en-US" w:eastAsia="zh-CN"/>
        </w:rPr>
        <w:t>2</w:t>
      </w:r>
      <w:r w:rsidR="003D6BAB" w:rsidRPr="003D6BAB">
        <w:rPr>
          <w:b w:val="0"/>
          <w:sz w:val="22"/>
          <w:szCs w:val="22"/>
          <w:vertAlign w:val="superscript"/>
          <w:lang w:val="en-US" w:eastAsia="zh-CN"/>
        </w:rPr>
        <w:t>nd</w:t>
      </w:r>
      <w:r w:rsidR="003D6BAB">
        <w:rPr>
          <w:b w:val="0"/>
          <w:sz w:val="22"/>
          <w:szCs w:val="22"/>
          <w:lang w:val="en-US" w:eastAsia="zh-CN"/>
        </w:rPr>
        <w:t xml:space="preserve"> SMTC in IDLE. In other words, the UE behavior would always follow the R15 SMTC, even if gNB is now transmitting SSB based on 2</w:t>
      </w:r>
      <w:r w:rsidR="003D6BAB" w:rsidRPr="003D6BAB">
        <w:rPr>
          <w:b w:val="0"/>
          <w:sz w:val="22"/>
          <w:szCs w:val="22"/>
          <w:vertAlign w:val="superscript"/>
          <w:lang w:val="en-US" w:eastAsia="zh-CN"/>
        </w:rPr>
        <w:t>nd</w:t>
      </w:r>
      <w:r w:rsidR="003D6BAB">
        <w:rPr>
          <w:b w:val="0"/>
          <w:sz w:val="22"/>
          <w:szCs w:val="22"/>
          <w:lang w:val="en-US" w:eastAsia="zh-CN"/>
        </w:rPr>
        <w:t xml:space="preserve"> SMTC.</w:t>
      </w:r>
    </w:p>
    <w:p w14:paraId="15ACA893" w14:textId="78E36A07" w:rsidR="003D6BAB" w:rsidRPr="003D6BAB" w:rsidRDefault="003D6BAB" w:rsidP="003D6BAB">
      <w:pPr>
        <w:pStyle w:val="Caption"/>
      </w:pPr>
      <w:bookmarkStart w:id="1" w:name="_Ref23865296"/>
      <w:r>
        <w:t xml:space="preserve">Observation </w:t>
      </w:r>
      <w:r w:rsidR="00B767F4">
        <w:rPr>
          <w:noProof/>
        </w:rPr>
        <w:fldChar w:fldCharType="begin"/>
      </w:r>
      <w:r w:rsidR="00B767F4">
        <w:rPr>
          <w:noProof/>
        </w:rPr>
        <w:instrText xml:space="preserve"> SEQ Observation \* ARABIC </w:instrText>
      </w:r>
      <w:r w:rsidR="00B767F4">
        <w:rPr>
          <w:noProof/>
        </w:rPr>
        <w:fldChar w:fldCharType="separate"/>
      </w:r>
      <w:r w:rsidR="00A1379A">
        <w:rPr>
          <w:noProof/>
        </w:rPr>
        <w:t>1</w:t>
      </w:r>
      <w:r w:rsidR="00B767F4">
        <w:rPr>
          <w:noProof/>
        </w:rPr>
        <w:fldChar w:fldCharType="end"/>
      </w:r>
      <w:r>
        <w:t>: R15 l</w:t>
      </w:r>
      <w:r w:rsidRPr="003D6BAB">
        <w:t>egacy UE is not able to u</w:t>
      </w:r>
      <w:r>
        <w:t>nderstand anything about the 2</w:t>
      </w:r>
      <w:r w:rsidRPr="003D6BAB">
        <w:rPr>
          <w:vertAlign w:val="superscript"/>
        </w:rPr>
        <w:t>nd</w:t>
      </w:r>
      <w:r>
        <w:t xml:space="preserve"> </w:t>
      </w:r>
      <w:r w:rsidRPr="003D6BAB">
        <w:t xml:space="preserve">SMTC in IDLE. </w:t>
      </w:r>
      <w:r>
        <w:t>T</w:t>
      </w:r>
      <w:r w:rsidRPr="003D6BAB">
        <w:t xml:space="preserve">he UE behavior would always follow the R15 SMTC, even if gNB is </w:t>
      </w:r>
      <w:r w:rsidR="00C3028E">
        <w:t>n</w:t>
      </w:r>
      <w:r w:rsidR="00A1379A">
        <w:t>o</w:t>
      </w:r>
      <w:r w:rsidR="00C3028E">
        <w:t>w</w:t>
      </w:r>
      <w:r w:rsidRPr="003D6BAB">
        <w:t xml:space="preserve"> transmitting SSB based on 2</w:t>
      </w:r>
      <w:r w:rsidRPr="003D6BAB">
        <w:rPr>
          <w:vertAlign w:val="superscript"/>
        </w:rPr>
        <w:t>nd</w:t>
      </w:r>
      <w:r w:rsidRPr="003D6BAB">
        <w:t xml:space="preserve"> SMTC</w:t>
      </w:r>
      <w:r>
        <w:t>.</w:t>
      </w:r>
      <w:bookmarkEnd w:id="1"/>
    </w:p>
    <w:p w14:paraId="331AE5AD" w14:textId="77777777" w:rsidR="003D6BAB" w:rsidRDefault="003D6BAB" w:rsidP="003D6BAB">
      <w:pPr>
        <w:rPr>
          <w:lang w:val="x-none"/>
        </w:rPr>
      </w:pPr>
    </w:p>
    <w:p w14:paraId="4DF75B19" w14:textId="6CFE098F" w:rsidR="00337FD3" w:rsidRDefault="00337FD3" w:rsidP="000B285A">
      <w:pPr>
        <w:jc w:val="both"/>
        <w:rPr>
          <w:lang w:val="x-none"/>
        </w:rPr>
      </w:pPr>
      <w:r>
        <w:rPr>
          <w:lang w:val="x-none"/>
        </w:rPr>
        <w:t xml:space="preserve">With this mismatch, the impact to legacy UE is obvious. </w:t>
      </w:r>
      <w:r w:rsidR="00C3028E">
        <w:rPr>
          <w:lang w:val="x-none"/>
        </w:rPr>
        <w:t>L</w:t>
      </w:r>
      <w:r>
        <w:rPr>
          <w:lang w:val="x-none"/>
        </w:rPr>
        <w:t>egacy UE tries to measure the SS-RSRP and SS-RSRQ of a target cell (neighboring cells from</w:t>
      </w:r>
      <w:r w:rsidR="007B3A07">
        <w:rPr>
          <w:lang w:val="x-none"/>
        </w:rPr>
        <w:t xml:space="preserve"> either</w:t>
      </w:r>
      <w:r>
        <w:rPr>
          <w:lang w:val="x-none"/>
        </w:rPr>
        <w:t xml:space="preserve"> intra or inter frequency layer</w:t>
      </w:r>
      <w:r w:rsidR="000B285A">
        <w:rPr>
          <w:lang w:val="x-none"/>
        </w:rPr>
        <w:t>s</w:t>
      </w:r>
      <w:r w:rsidR="00C3028E">
        <w:rPr>
          <w:rFonts w:hint="eastAsia"/>
          <w:lang w:val="x-none"/>
        </w:rPr>
        <w:t>) based on R15 SMTC</w:t>
      </w:r>
      <w:r w:rsidR="000B285A">
        <w:rPr>
          <w:lang w:val="x-none"/>
        </w:rPr>
        <w:t xml:space="preserve">. </w:t>
      </w:r>
      <w:r w:rsidR="002F40E5">
        <w:rPr>
          <w:lang w:val="x-none"/>
        </w:rPr>
        <w:t>When the legacy UE tries to perform measurement on a certain SSB of a target cell but the target cell actually does not transmit the SSB, then UE will measure</w:t>
      </w:r>
      <w:r w:rsidR="00B012CA">
        <w:rPr>
          <w:lang w:val="x-none"/>
        </w:rPr>
        <w:t xml:space="preserve"> the RSRP and RSRQ from nothing, as shown in </w:t>
      </w:r>
      <w:r w:rsidR="00B012CA">
        <w:rPr>
          <w:lang w:val="x-none"/>
        </w:rPr>
        <w:fldChar w:fldCharType="begin"/>
      </w:r>
      <w:r w:rsidR="00B012CA">
        <w:rPr>
          <w:lang w:val="x-none"/>
        </w:rPr>
        <w:instrText xml:space="preserve"> REF _Ref23864224 \h </w:instrText>
      </w:r>
      <w:r w:rsidR="00B012CA">
        <w:rPr>
          <w:lang w:val="x-none"/>
        </w:rPr>
      </w:r>
      <w:r w:rsidR="00B012CA">
        <w:rPr>
          <w:lang w:val="x-none"/>
        </w:rPr>
        <w:fldChar w:fldCharType="separate"/>
      </w:r>
      <w:r w:rsidR="00B012CA">
        <w:t xml:space="preserve">Figure </w:t>
      </w:r>
      <w:r w:rsidR="00B012CA">
        <w:rPr>
          <w:noProof/>
        </w:rPr>
        <w:t>1</w:t>
      </w:r>
      <w:r w:rsidR="00B012CA">
        <w:rPr>
          <w:lang w:val="x-none"/>
        </w:rPr>
        <w:fldChar w:fldCharType="end"/>
      </w:r>
      <w:r w:rsidR="00B012CA">
        <w:rPr>
          <w:lang w:val="x-none"/>
        </w:rPr>
        <w:t>.</w:t>
      </w:r>
      <w:r w:rsidR="00C3028E">
        <w:rPr>
          <w:lang w:val="x-none"/>
        </w:rPr>
        <w:t xml:space="preserve"> </w:t>
      </w:r>
    </w:p>
    <w:p w14:paraId="4B475D59" w14:textId="50C9E403" w:rsidR="00337FD3" w:rsidRDefault="00337FD3" w:rsidP="003D6BAB">
      <w:pPr>
        <w:rPr>
          <w:lang w:val="x-none"/>
        </w:rPr>
      </w:pPr>
      <w:r w:rsidRPr="00337FD3">
        <w:rPr>
          <w:noProof/>
          <w:lang w:eastAsia="zh-TW"/>
        </w:rPr>
        <w:lastRenderedPageBreak/>
        <w:drawing>
          <wp:inline distT="0" distB="0" distL="0" distR="0" wp14:anchorId="50152ED3" wp14:editId="3088E71E">
            <wp:extent cx="6120765" cy="1814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814525"/>
                    </a:xfrm>
                    <a:prstGeom prst="rect">
                      <a:avLst/>
                    </a:prstGeom>
                    <a:noFill/>
                    <a:ln>
                      <a:noFill/>
                    </a:ln>
                  </pic:spPr>
                </pic:pic>
              </a:graphicData>
            </a:graphic>
          </wp:inline>
        </w:drawing>
      </w:r>
    </w:p>
    <w:p w14:paraId="0BD50EFB" w14:textId="3AD1F7D2" w:rsidR="00337FD3" w:rsidRDefault="00B012CA" w:rsidP="00B012CA">
      <w:pPr>
        <w:pStyle w:val="Caption"/>
        <w:jc w:val="center"/>
      </w:pPr>
      <w:bookmarkStart w:id="2" w:name="_Ref23864224"/>
      <w:r>
        <w:t xml:space="preserve">Figure </w:t>
      </w:r>
      <w:r w:rsidR="00B767F4">
        <w:rPr>
          <w:noProof/>
        </w:rPr>
        <w:fldChar w:fldCharType="begin"/>
      </w:r>
      <w:r w:rsidR="00B767F4">
        <w:rPr>
          <w:noProof/>
        </w:rPr>
        <w:instrText xml:space="preserve"> SEQ Figure \* ARABIC </w:instrText>
      </w:r>
      <w:r w:rsidR="00B767F4">
        <w:rPr>
          <w:noProof/>
        </w:rPr>
        <w:fldChar w:fldCharType="separate"/>
      </w:r>
      <w:r>
        <w:rPr>
          <w:noProof/>
        </w:rPr>
        <w:t>1</w:t>
      </w:r>
      <w:r w:rsidR="00B767F4">
        <w:rPr>
          <w:noProof/>
        </w:rPr>
        <w:fldChar w:fldCharType="end"/>
      </w:r>
      <w:bookmarkEnd w:id="2"/>
      <w:r>
        <w:t>. Legacy UE may measure RSRP and RSRQ from nothing.</w:t>
      </w:r>
    </w:p>
    <w:p w14:paraId="241D15E6" w14:textId="77777777" w:rsidR="00B012CA" w:rsidRDefault="00B012CA" w:rsidP="00B012CA">
      <w:pPr>
        <w:jc w:val="both"/>
        <w:rPr>
          <w:lang w:val="x-none"/>
        </w:rPr>
      </w:pPr>
    </w:p>
    <w:p w14:paraId="44A2E99D" w14:textId="6531B05B" w:rsidR="00B012CA" w:rsidRDefault="00B012CA" w:rsidP="00B012CA">
      <w:pPr>
        <w:jc w:val="both"/>
        <w:rPr>
          <w:lang w:val="x-none"/>
        </w:rPr>
      </w:pPr>
      <w:r>
        <w:rPr>
          <w:lang w:val="x-none"/>
        </w:rPr>
        <w:t>The measurement result will be later filtered by UE and used in the decision in cell re-selection. Since Legacy UE has no idea on whether the SSB was really transmitted or not, it will naively take all measurement sample</w:t>
      </w:r>
      <w:r w:rsidR="00B76138">
        <w:rPr>
          <w:lang w:val="x-none"/>
        </w:rPr>
        <w:t>s</w:t>
      </w:r>
      <w:r>
        <w:rPr>
          <w:lang w:val="x-none"/>
        </w:rPr>
        <w:t xml:space="preserve"> it get in the reselection decision. In this case, </w:t>
      </w:r>
      <w:r w:rsidR="00A1379A">
        <w:rPr>
          <w:lang w:val="x-none"/>
        </w:rPr>
        <w:t>legacy UE will underestimate the RSRP and RSRP of cells and make wrong decision in cell re-selection.</w:t>
      </w:r>
    </w:p>
    <w:p w14:paraId="5DE95C29" w14:textId="7B389136" w:rsidR="003D6BAB" w:rsidRDefault="00A1379A" w:rsidP="00A1379A">
      <w:pPr>
        <w:pStyle w:val="Caption"/>
      </w:pPr>
      <w:bookmarkStart w:id="3" w:name="_Ref23865298"/>
      <w:r>
        <w:t xml:space="preserve">Observation </w:t>
      </w:r>
      <w:r w:rsidR="00B767F4">
        <w:rPr>
          <w:noProof/>
        </w:rPr>
        <w:fldChar w:fldCharType="begin"/>
      </w:r>
      <w:r w:rsidR="00B767F4">
        <w:rPr>
          <w:noProof/>
        </w:rPr>
        <w:instrText xml:space="preserve"> SEQ Observation \* ARABIC </w:instrText>
      </w:r>
      <w:r w:rsidR="00B767F4">
        <w:rPr>
          <w:noProof/>
        </w:rPr>
        <w:fldChar w:fldCharType="separate"/>
      </w:r>
      <w:r>
        <w:rPr>
          <w:noProof/>
        </w:rPr>
        <w:t>2</w:t>
      </w:r>
      <w:r w:rsidR="00B767F4">
        <w:rPr>
          <w:noProof/>
        </w:rPr>
        <w:fldChar w:fldCharType="end"/>
      </w:r>
      <w:r>
        <w:t>: UE may measure the RSRP and RSRQ from nothing for those cell</w:t>
      </w:r>
      <w:r w:rsidR="00830A2D">
        <w:t>s</w:t>
      </w:r>
      <w:r>
        <w:t xml:space="preserve"> adapting 2</w:t>
      </w:r>
      <w:r w:rsidRPr="00A1379A">
        <w:rPr>
          <w:vertAlign w:val="superscript"/>
        </w:rPr>
        <w:t>nd</w:t>
      </w:r>
      <w:r>
        <w:t xml:space="preserve"> SMTC and make wrong decision in cell re-selection.</w:t>
      </w:r>
      <w:bookmarkEnd w:id="3"/>
    </w:p>
    <w:p w14:paraId="091A4379" w14:textId="4FA5ADC6" w:rsidR="003D6BAB" w:rsidRPr="003D6BAB" w:rsidRDefault="00A1379A" w:rsidP="00A1379A">
      <w:pPr>
        <w:pStyle w:val="Caption"/>
        <w:rPr>
          <w:lang w:val="en-US" w:eastAsia="zh-CN"/>
        </w:rPr>
      </w:pPr>
      <w:bookmarkStart w:id="4" w:name="_Ref23865301"/>
      <w:r>
        <w:t xml:space="preserve">Proposal </w:t>
      </w:r>
      <w:r w:rsidR="00B767F4">
        <w:rPr>
          <w:noProof/>
        </w:rPr>
        <w:fldChar w:fldCharType="begin"/>
      </w:r>
      <w:r w:rsidR="00B767F4">
        <w:rPr>
          <w:noProof/>
        </w:rPr>
        <w:instrText xml:space="preserve"> SEQ Proposal \* ARABIC </w:instrText>
      </w:r>
      <w:r w:rsidR="00B767F4">
        <w:rPr>
          <w:noProof/>
        </w:rPr>
        <w:fldChar w:fldCharType="separate"/>
      </w:r>
      <w:r>
        <w:rPr>
          <w:noProof/>
        </w:rPr>
        <w:t>1</w:t>
      </w:r>
      <w:r w:rsidR="00B767F4">
        <w:rPr>
          <w:noProof/>
        </w:rPr>
        <w:fldChar w:fldCharType="end"/>
      </w:r>
      <w:r>
        <w:t>: Confirm that the 2</w:t>
      </w:r>
      <w:r w:rsidRPr="00A1379A">
        <w:rPr>
          <w:vertAlign w:val="superscript"/>
        </w:rPr>
        <w:t>nd</w:t>
      </w:r>
      <w:r>
        <w:t xml:space="preserve"> SMTC in IDLE mode has impact on legacy UE.</w:t>
      </w:r>
      <w:bookmarkEnd w:id="4"/>
    </w:p>
    <w:p w14:paraId="59E31DA9" w14:textId="77777777" w:rsidR="007A456D" w:rsidRPr="000C45FD" w:rsidRDefault="007A456D" w:rsidP="0012659B">
      <w:pPr>
        <w:pStyle w:val="Heading1"/>
        <w:numPr>
          <w:ilvl w:val="0"/>
          <w:numId w:val="1"/>
        </w:numPr>
        <w:rPr>
          <w:rFonts w:ascii="Calibri" w:hAnsi="Calibri"/>
          <w:lang w:eastAsia="zh-CN"/>
        </w:rPr>
      </w:pPr>
      <w:r>
        <w:rPr>
          <w:rFonts w:ascii="Calibri" w:hAnsi="Calibri"/>
        </w:rPr>
        <w:t>Summary</w:t>
      </w:r>
    </w:p>
    <w:p w14:paraId="746B2B53" w14:textId="147D829B" w:rsidR="00721B0D" w:rsidRDefault="006E3812" w:rsidP="00721B0D">
      <w:pPr>
        <w:adjustRightInd w:val="0"/>
        <w:snapToGrid w:val="0"/>
        <w:spacing w:before="180" w:after="120"/>
        <w:jc w:val="both"/>
      </w:pPr>
      <w:r w:rsidRPr="006E3812">
        <w:t>In this</w:t>
      </w:r>
      <w:r>
        <w:t xml:space="preserve"> paper, </w:t>
      </w:r>
      <w:r w:rsidR="00FE5F99">
        <w:t xml:space="preserve">we provide </w:t>
      </w:r>
      <w:r w:rsidR="00A1379A">
        <w:t>our view on the legacy impact due to the 2</w:t>
      </w:r>
      <w:r w:rsidR="00A1379A" w:rsidRPr="00A1379A">
        <w:rPr>
          <w:vertAlign w:val="superscript"/>
        </w:rPr>
        <w:t>nd</w:t>
      </w:r>
      <w:r w:rsidR="00A1379A">
        <w:t xml:space="preserve"> SMTC in IDLE mode.</w:t>
      </w:r>
    </w:p>
    <w:p w14:paraId="474906E5" w14:textId="61DF5D3E" w:rsidR="00A1379A" w:rsidRPr="00A1379A" w:rsidRDefault="00A1379A" w:rsidP="00721B0D">
      <w:pPr>
        <w:adjustRightInd w:val="0"/>
        <w:snapToGrid w:val="0"/>
        <w:spacing w:before="180" w:after="120"/>
        <w:jc w:val="both"/>
        <w:rPr>
          <w:b/>
          <w:sz w:val="20"/>
          <w:szCs w:val="20"/>
          <w:lang w:val="x-none" w:eastAsia="x-none"/>
        </w:rPr>
      </w:pPr>
      <w:r w:rsidRPr="00A1379A">
        <w:rPr>
          <w:b/>
          <w:sz w:val="20"/>
          <w:szCs w:val="20"/>
          <w:lang w:val="x-none" w:eastAsia="x-none"/>
        </w:rPr>
        <w:fldChar w:fldCharType="begin"/>
      </w:r>
      <w:r w:rsidRPr="00A1379A">
        <w:rPr>
          <w:b/>
          <w:sz w:val="20"/>
          <w:szCs w:val="20"/>
          <w:lang w:val="x-none" w:eastAsia="x-none"/>
        </w:rPr>
        <w:instrText xml:space="preserve"> REF _Ref23865296 \h </w:instrText>
      </w:r>
      <w:r>
        <w:rPr>
          <w:b/>
          <w:sz w:val="20"/>
          <w:szCs w:val="20"/>
          <w:lang w:val="x-none" w:eastAsia="x-none"/>
        </w:rPr>
        <w:instrText xml:space="preserve"> \* MERGEFORMAT </w:instrText>
      </w:r>
      <w:r w:rsidRPr="00A1379A">
        <w:rPr>
          <w:b/>
          <w:sz w:val="20"/>
          <w:szCs w:val="20"/>
          <w:lang w:val="x-none" w:eastAsia="x-none"/>
        </w:rPr>
      </w:r>
      <w:r w:rsidRPr="00A1379A">
        <w:rPr>
          <w:b/>
          <w:sz w:val="20"/>
          <w:szCs w:val="20"/>
          <w:lang w:val="x-none" w:eastAsia="x-none"/>
        </w:rPr>
        <w:fldChar w:fldCharType="separate"/>
      </w:r>
      <w:r w:rsidRPr="00A1379A">
        <w:rPr>
          <w:b/>
          <w:sz w:val="20"/>
          <w:szCs w:val="20"/>
          <w:lang w:val="x-none" w:eastAsia="x-none"/>
        </w:rPr>
        <w:t>Observation 1: R15 legacy UE is not able to understand anything about the 2</w:t>
      </w:r>
      <w:r w:rsidRPr="00A1379A">
        <w:rPr>
          <w:b/>
          <w:sz w:val="20"/>
          <w:szCs w:val="20"/>
          <w:vertAlign w:val="superscript"/>
          <w:lang w:val="x-none" w:eastAsia="x-none"/>
        </w:rPr>
        <w:t>nd</w:t>
      </w:r>
      <w:r w:rsidRPr="00A1379A">
        <w:rPr>
          <w:b/>
          <w:sz w:val="20"/>
          <w:szCs w:val="20"/>
          <w:lang w:val="x-none" w:eastAsia="x-none"/>
        </w:rPr>
        <w:t xml:space="preserve"> SMTC in IDLE. The UE behavior would always follow the R15 SMTC, even if gNB is now transmitting SSB based on 2</w:t>
      </w:r>
      <w:r w:rsidRPr="00A1379A">
        <w:rPr>
          <w:b/>
          <w:sz w:val="20"/>
          <w:szCs w:val="20"/>
          <w:vertAlign w:val="superscript"/>
          <w:lang w:val="x-none" w:eastAsia="x-none"/>
        </w:rPr>
        <w:t>nd</w:t>
      </w:r>
      <w:r w:rsidRPr="00A1379A">
        <w:rPr>
          <w:b/>
          <w:sz w:val="20"/>
          <w:szCs w:val="20"/>
          <w:lang w:val="x-none" w:eastAsia="x-none"/>
        </w:rPr>
        <w:t xml:space="preserve"> SMTC.</w:t>
      </w:r>
      <w:r w:rsidRPr="00A1379A">
        <w:rPr>
          <w:b/>
          <w:sz w:val="20"/>
          <w:szCs w:val="20"/>
          <w:lang w:val="x-none" w:eastAsia="x-none"/>
        </w:rPr>
        <w:fldChar w:fldCharType="end"/>
      </w:r>
    </w:p>
    <w:p w14:paraId="59E5BC17" w14:textId="4427BFA6" w:rsidR="00A1379A" w:rsidRPr="00A1379A" w:rsidRDefault="00A1379A" w:rsidP="00721B0D">
      <w:pPr>
        <w:adjustRightInd w:val="0"/>
        <w:snapToGrid w:val="0"/>
        <w:spacing w:before="180" w:after="120"/>
        <w:jc w:val="both"/>
        <w:rPr>
          <w:b/>
          <w:sz w:val="20"/>
          <w:szCs w:val="20"/>
          <w:lang w:val="x-none" w:eastAsia="x-none"/>
        </w:rPr>
      </w:pPr>
      <w:r w:rsidRPr="00A1379A">
        <w:rPr>
          <w:b/>
          <w:sz w:val="20"/>
          <w:szCs w:val="20"/>
          <w:lang w:val="x-none" w:eastAsia="x-none"/>
        </w:rPr>
        <w:fldChar w:fldCharType="begin"/>
      </w:r>
      <w:r w:rsidRPr="00A1379A">
        <w:rPr>
          <w:b/>
          <w:sz w:val="20"/>
          <w:szCs w:val="20"/>
          <w:lang w:val="x-none" w:eastAsia="x-none"/>
        </w:rPr>
        <w:instrText xml:space="preserve"> REF _Ref23865298 \h </w:instrText>
      </w:r>
      <w:r>
        <w:rPr>
          <w:b/>
          <w:sz w:val="20"/>
          <w:szCs w:val="20"/>
          <w:lang w:val="x-none" w:eastAsia="x-none"/>
        </w:rPr>
        <w:instrText xml:space="preserve"> \* MERGEFORMAT </w:instrText>
      </w:r>
      <w:r w:rsidRPr="00A1379A">
        <w:rPr>
          <w:b/>
          <w:sz w:val="20"/>
          <w:szCs w:val="20"/>
          <w:lang w:val="x-none" w:eastAsia="x-none"/>
        </w:rPr>
      </w:r>
      <w:r w:rsidRPr="00A1379A">
        <w:rPr>
          <w:b/>
          <w:sz w:val="20"/>
          <w:szCs w:val="20"/>
          <w:lang w:val="x-none" w:eastAsia="x-none"/>
        </w:rPr>
        <w:fldChar w:fldCharType="separate"/>
      </w:r>
      <w:r w:rsidRPr="00A1379A">
        <w:rPr>
          <w:b/>
          <w:sz w:val="20"/>
          <w:szCs w:val="20"/>
          <w:lang w:val="x-none" w:eastAsia="x-none"/>
        </w:rPr>
        <w:t>Observation 2: UE may measure the RSRP and RSRQ from nothing for those cell</w:t>
      </w:r>
      <w:r w:rsidR="00830A2D">
        <w:rPr>
          <w:b/>
          <w:sz w:val="20"/>
          <w:szCs w:val="20"/>
          <w:lang w:val="x-none" w:eastAsia="x-none"/>
        </w:rPr>
        <w:t>s</w:t>
      </w:r>
      <w:r w:rsidRPr="00A1379A">
        <w:rPr>
          <w:b/>
          <w:sz w:val="20"/>
          <w:szCs w:val="20"/>
          <w:lang w:val="x-none" w:eastAsia="x-none"/>
        </w:rPr>
        <w:t xml:space="preserve"> adapting 2</w:t>
      </w:r>
      <w:r w:rsidRPr="00A1379A">
        <w:rPr>
          <w:b/>
          <w:sz w:val="20"/>
          <w:szCs w:val="20"/>
          <w:vertAlign w:val="superscript"/>
          <w:lang w:val="x-none" w:eastAsia="x-none"/>
        </w:rPr>
        <w:t>nd</w:t>
      </w:r>
      <w:r w:rsidRPr="00A1379A">
        <w:rPr>
          <w:b/>
          <w:sz w:val="20"/>
          <w:szCs w:val="20"/>
          <w:lang w:val="x-none" w:eastAsia="x-none"/>
        </w:rPr>
        <w:t xml:space="preserve"> SMTC and make wrong decision in cell re-selection.</w:t>
      </w:r>
      <w:r w:rsidRPr="00A1379A">
        <w:rPr>
          <w:b/>
          <w:sz w:val="20"/>
          <w:szCs w:val="20"/>
          <w:lang w:val="x-none" w:eastAsia="x-none"/>
        </w:rPr>
        <w:fldChar w:fldCharType="end"/>
      </w:r>
    </w:p>
    <w:p w14:paraId="30A71280" w14:textId="5FC02C5C" w:rsidR="00A1379A" w:rsidRPr="00A1379A" w:rsidRDefault="00A1379A" w:rsidP="00721B0D">
      <w:pPr>
        <w:adjustRightInd w:val="0"/>
        <w:snapToGrid w:val="0"/>
        <w:spacing w:before="180" w:after="120"/>
        <w:jc w:val="both"/>
        <w:rPr>
          <w:b/>
          <w:sz w:val="20"/>
          <w:szCs w:val="20"/>
          <w:lang w:val="x-none" w:eastAsia="x-none"/>
        </w:rPr>
      </w:pPr>
      <w:r w:rsidRPr="00A1379A">
        <w:rPr>
          <w:b/>
          <w:sz w:val="20"/>
          <w:szCs w:val="20"/>
          <w:lang w:val="x-none" w:eastAsia="x-none"/>
        </w:rPr>
        <w:fldChar w:fldCharType="begin"/>
      </w:r>
      <w:r w:rsidRPr="00A1379A">
        <w:rPr>
          <w:b/>
          <w:sz w:val="20"/>
          <w:szCs w:val="20"/>
          <w:lang w:val="x-none" w:eastAsia="x-none"/>
        </w:rPr>
        <w:instrText xml:space="preserve"> REF _Ref23865301 \h </w:instrText>
      </w:r>
      <w:r>
        <w:rPr>
          <w:b/>
          <w:sz w:val="20"/>
          <w:szCs w:val="20"/>
          <w:lang w:val="x-none" w:eastAsia="x-none"/>
        </w:rPr>
        <w:instrText xml:space="preserve"> \* MERGEFORMAT </w:instrText>
      </w:r>
      <w:r w:rsidRPr="00A1379A">
        <w:rPr>
          <w:b/>
          <w:sz w:val="20"/>
          <w:szCs w:val="20"/>
          <w:lang w:val="x-none" w:eastAsia="x-none"/>
        </w:rPr>
      </w:r>
      <w:r w:rsidRPr="00A1379A">
        <w:rPr>
          <w:b/>
          <w:sz w:val="20"/>
          <w:szCs w:val="20"/>
          <w:lang w:val="x-none" w:eastAsia="x-none"/>
        </w:rPr>
        <w:fldChar w:fldCharType="separate"/>
      </w:r>
      <w:r w:rsidRPr="00A1379A">
        <w:rPr>
          <w:b/>
          <w:sz w:val="20"/>
          <w:szCs w:val="20"/>
          <w:lang w:val="x-none" w:eastAsia="x-none"/>
        </w:rPr>
        <w:t>Proposal 1: Confirm that the 2</w:t>
      </w:r>
      <w:r w:rsidRPr="00A1379A">
        <w:rPr>
          <w:b/>
          <w:sz w:val="20"/>
          <w:szCs w:val="20"/>
          <w:vertAlign w:val="superscript"/>
          <w:lang w:val="x-none" w:eastAsia="x-none"/>
        </w:rPr>
        <w:t>nd</w:t>
      </w:r>
      <w:r w:rsidRPr="00A1379A">
        <w:rPr>
          <w:b/>
          <w:sz w:val="20"/>
          <w:szCs w:val="20"/>
          <w:lang w:val="x-none" w:eastAsia="x-none"/>
        </w:rPr>
        <w:t xml:space="preserve"> SMTC in IDLE mode has impact on legacy UE.</w:t>
      </w:r>
      <w:r w:rsidRPr="00A1379A">
        <w:rPr>
          <w:b/>
          <w:sz w:val="20"/>
          <w:szCs w:val="20"/>
          <w:lang w:val="x-none" w:eastAsia="x-none"/>
        </w:rPr>
        <w:fldChar w:fldCharType="end"/>
      </w:r>
    </w:p>
    <w:p w14:paraId="2F0A9587" w14:textId="3DEC21DC" w:rsidR="00D63646" w:rsidRDefault="000F20AC" w:rsidP="0012659B">
      <w:pPr>
        <w:pStyle w:val="Heading1"/>
        <w:numPr>
          <w:ilvl w:val="0"/>
          <w:numId w:val="1"/>
        </w:numPr>
        <w:rPr>
          <w:rFonts w:ascii="Calibri" w:hAnsi="Calibri"/>
        </w:rPr>
      </w:pPr>
      <w:r w:rsidRPr="000C45FD">
        <w:rPr>
          <w:rFonts w:ascii="Calibri" w:hAnsi="Calibri"/>
        </w:rPr>
        <w:t>References</w:t>
      </w:r>
    </w:p>
    <w:p w14:paraId="4A8725F5" w14:textId="5AD7CD2E" w:rsidR="00D63646" w:rsidRPr="00721B0D" w:rsidRDefault="00D63646" w:rsidP="00DB2B61">
      <w:r w:rsidRPr="00721B0D">
        <w:t xml:space="preserve">[1] </w:t>
      </w:r>
      <w:r w:rsidR="00721B0D" w:rsidRPr="00721B0D">
        <w:t>R2-1911840</w:t>
      </w:r>
      <w:r w:rsidR="006B1D92" w:rsidRPr="00721B0D">
        <w:t>, “</w:t>
      </w:r>
      <w:r w:rsidR="00721B0D" w:rsidRPr="00721B0D">
        <w:t>LS on second SMTC periodicity in idle mode</w:t>
      </w:r>
      <w:r w:rsidR="001263EF" w:rsidRPr="00721B0D">
        <w:t>”,</w:t>
      </w:r>
      <w:r w:rsidR="00721B0D" w:rsidRPr="00721B0D">
        <w:t xml:space="preserve"> RAN2</w:t>
      </w:r>
      <w:r w:rsidR="001263EF" w:rsidRPr="00721B0D">
        <w:t xml:space="preserve"> </w:t>
      </w:r>
    </w:p>
    <w:p w14:paraId="1174AD73" w14:textId="0D934643" w:rsidR="005C78A5" w:rsidRDefault="005C78A5" w:rsidP="00DB2B61">
      <w:pPr>
        <w:rPr>
          <w:lang w:val="en-GB" w:eastAsia="en-US"/>
        </w:rPr>
      </w:pPr>
      <w:r>
        <w:rPr>
          <w:lang w:val="en-GB" w:eastAsia="en-US"/>
        </w:rPr>
        <w:t xml:space="preserve">[2] </w:t>
      </w:r>
      <w:r w:rsidR="00721B0D" w:rsidRPr="00721B0D">
        <w:rPr>
          <w:lang w:val="en-GB" w:eastAsia="en-US"/>
        </w:rPr>
        <w:t>R4-1912744</w:t>
      </w:r>
      <w:r>
        <w:rPr>
          <w:lang w:val="en-GB" w:eastAsia="en-US"/>
        </w:rPr>
        <w:t>, “</w:t>
      </w:r>
      <w:r w:rsidR="00721B0D" w:rsidRPr="00721B0D">
        <w:t>Reply LS on second SMTC periodicity in idle mode</w:t>
      </w:r>
      <w:r>
        <w:rPr>
          <w:lang w:val="en-GB" w:eastAsia="en-US"/>
        </w:rPr>
        <w:t xml:space="preserve">”, </w:t>
      </w:r>
      <w:r w:rsidR="00721B0D">
        <w:rPr>
          <w:lang w:val="en-GB" w:eastAsia="en-US"/>
        </w:rPr>
        <w:t>RAN4</w:t>
      </w:r>
    </w:p>
    <w:sectPr w:rsidR="005C78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92908" w14:textId="77777777" w:rsidR="002B74FF" w:rsidRDefault="002B74FF">
      <w:r>
        <w:separator/>
      </w:r>
    </w:p>
  </w:endnote>
  <w:endnote w:type="continuationSeparator" w:id="0">
    <w:p w14:paraId="0A16381D" w14:textId="77777777" w:rsidR="002B74FF" w:rsidRDefault="002B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6AE67" w14:textId="77777777" w:rsidR="002B74FF" w:rsidRDefault="002B74FF">
      <w:r>
        <w:separator/>
      </w:r>
    </w:p>
  </w:footnote>
  <w:footnote w:type="continuationSeparator" w:id="0">
    <w:p w14:paraId="531CC0BD" w14:textId="77777777" w:rsidR="002B74FF" w:rsidRDefault="002B74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155D8"/>
    <w:multiLevelType w:val="hybridMultilevel"/>
    <w:tmpl w:val="29E2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5273A17"/>
    <w:multiLevelType w:val="hybridMultilevel"/>
    <w:tmpl w:val="A2F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931B2A"/>
    <w:multiLevelType w:val="hybridMultilevel"/>
    <w:tmpl w:val="93EADA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E770A9"/>
    <w:multiLevelType w:val="hybridMultilevel"/>
    <w:tmpl w:val="C944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5"/>
  </w:num>
  <w:num w:numId="2">
    <w:abstractNumId w:val="1"/>
  </w:num>
  <w:num w:numId="3">
    <w:abstractNumId w:val="4"/>
  </w:num>
  <w:num w:numId="4">
    <w:abstractNumId w:val="2"/>
  </w:num>
  <w:num w:numId="5">
    <w:abstractNumId w:val="0"/>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B7"/>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3C2"/>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3A47"/>
    <w:rsid w:val="000345EB"/>
    <w:rsid w:val="000347B1"/>
    <w:rsid w:val="00034AD2"/>
    <w:rsid w:val="00034FF2"/>
    <w:rsid w:val="00035AC1"/>
    <w:rsid w:val="0003672F"/>
    <w:rsid w:val="0003683B"/>
    <w:rsid w:val="00037056"/>
    <w:rsid w:val="000373B5"/>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581"/>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6BA"/>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85A"/>
    <w:rsid w:val="000B2931"/>
    <w:rsid w:val="000B2A9B"/>
    <w:rsid w:val="000B2CE3"/>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1A7F"/>
    <w:rsid w:val="000C22E1"/>
    <w:rsid w:val="000C28E3"/>
    <w:rsid w:val="000C2D07"/>
    <w:rsid w:val="000C2D18"/>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2E1"/>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642"/>
    <w:rsid w:val="00100AAE"/>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E47"/>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394"/>
    <w:rsid w:val="0011780E"/>
    <w:rsid w:val="00117DA7"/>
    <w:rsid w:val="00120801"/>
    <w:rsid w:val="00120888"/>
    <w:rsid w:val="00120A1A"/>
    <w:rsid w:val="00120A81"/>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63EF"/>
    <w:rsid w:val="0012659B"/>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0859"/>
    <w:rsid w:val="0017108B"/>
    <w:rsid w:val="0017121B"/>
    <w:rsid w:val="00171754"/>
    <w:rsid w:val="0017180F"/>
    <w:rsid w:val="001729D3"/>
    <w:rsid w:val="00172DC0"/>
    <w:rsid w:val="0017329A"/>
    <w:rsid w:val="00173ED5"/>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44F"/>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3E"/>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625"/>
    <w:rsid w:val="001D4863"/>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143"/>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70"/>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5E3"/>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58"/>
    <w:rsid w:val="002661DA"/>
    <w:rsid w:val="00266830"/>
    <w:rsid w:val="002669F1"/>
    <w:rsid w:val="00266FC3"/>
    <w:rsid w:val="00267410"/>
    <w:rsid w:val="0026792B"/>
    <w:rsid w:val="00270387"/>
    <w:rsid w:val="00270C59"/>
    <w:rsid w:val="00271B44"/>
    <w:rsid w:val="00271BFE"/>
    <w:rsid w:val="0027235C"/>
    <w:rsid w:val="00272569"/>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877"/>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3F2"/>
    <w:rsid w:val="00293688"/>
    <w:rsid w:val="00294B67"/>
    <w:rsid w:val="00294E8F"/>
    <w:rsid w:val="00296DC9"/>
    <w:rsid w:val="00297370"/>
    <w:rsid w:val="00297912"/>
    <w:rsid w:val="00297BFB"/>
    <w:rsid w:val="00297CDF"/>
    <w:rsid w:val="002A00D4"/>
    <w:rsid w:val="002A00DD"/>
    <w:rsid w:val="002A0393"/>
    <w:rsid w:val="002A0A2F"/>
    <w:rsid w:val="002A14C6"/>
    <w:rsid w:val="002A1A31"/>
    <w:rsid w:val="002A1D45"/>
    <w:rsid w:val="002A1F6A"/>
    <w:rsid w:val="002A23D9"/>
    <w:rsid w:val="002A244F"/>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4FF"/>
    <w:rsid w:val="002B773C"/>
    <w:rsid w:val="002B7DE6"/>
    <w:rsid w:val="002C0245"/>
    <w:rsid w:val="002C1163"/>
    <w:rsid w:val="002C13C1"/>
    <w:rsid w:val="002C1504"/>
    <w:rsid w:val="002C18DD"/>
    <w:rsid w:val="002C1D8E"/>
    <w:rsid w:val="002C2C19"/>
    <w:rsid w:val="002C3816"/>
    <w:rsid w:val="002C3C8A"/>
    <w:rsid w:val="002C5A0A"/>
    <w:rsid w:val="002C5CC9"/>
    <w:rsid w:val="002C61AC"/>
    <w:rsid w:val="002C61F4"/>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0E5"/>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B43"/>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37FD3"/>
    <w:rsid w:val="00340EC0"/>
    <w:rsid w:val="0034111C"/>
    <w:rsid w:val="003411BB"/>
    <w:rsid w:val="003412C8"/>
    <w:rsid w:val="00341319"/>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4DC"/>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F77"/>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40E"/>
    <w:rsid w:val="003D5507"/>
    <w:rsid w:val="003D6825"/>
    <w:rsid w:val="003D69EB"/>
    <w:rsid w:val="003D6BA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3F7C17"/>
    <w:rsid w:val="0040074F"/>
    <w:rsid w:val="0040078C"/>
    <w:rsid w:val="00400845"/>
    <w:rsid w:val="00400AE2"/>
    <w:rsid w:val="00400C30"/>
    <w:rsid w:val="004013FF"/>
    <w:rsid w:val="00401FB3"/>
    <w:rsid w:val="00402C3B"/>
    <w:rsid w:val="004033E0"/>
    <w:rsid w:val="004034B1"/>
    <w:rsid w:val="00403BE3"/>
    <w:rsid w:val="00403C73"/>
    <w:rsid w:val="00403D9F"/>
    <w:rsid w:val="00404104"/>
    <w:rsid w:val="00404532"/>
    <w:rsid w:val="004046A7"/>
    <w:rsid w:val="0040471B"/>
    <w:rsid w:val="00404A78"/>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1B"/>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3E5B"/>
    <w:rsid w:val="00434AD0"/>
    <w:rsid w:val="00434B64"/>
    <w:rsid w:val="00435596"/>
    <w:rsid w:val="004355DA"/>
    <w:rsid w:val="00435663"/>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0087"/>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649"/>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A2B"/>
    <w:rsid w:val="00472DBC"/>
    <w:rsid w:val="00473924"/>
    <w:rsid w:val="00474107"/>
    <w:rsid w:val="00474255"/>
    <w:rsid w:val="004742DF"/>
    <w:rsid w:val="00474A34"/>
    <w:rsid w:val="00474D53"/>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47"/>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DDC"/>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4D0"/>
    <w:rsid w:val="004D05A7"/>
    <w:rsid w:val="004D0607"/>
    <w:rsid w:val="004D0BA3"/>
    <w:rsid w:val="004D0D2E"/>
    <w:rsid w:val="004D15B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E775A"/>
    <w:rsid w:val="004F00EC"/>
    <w:rsid w:val="004F02D8"/>
    <w:rsid w:val="004F0D2A"/>
    <w:rsid w:val="004F0DB4"/>
    <w:rsid w:val="004F1097"/>
    <w:rsid w:val="004F1321"/>
    <w:rsid w:val="004F1A95"/>
    <w:rsid w:val="004F2ADF"/>
    <w:rsid w:val="004F3489"/>
    <w:rsid w:val="004F3B3E"/>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7E3"/>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7B4"/>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2D"/>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5B1"/>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4D"/>
    <w:rsid w:val="005C3969"/>
    <w:rsid w:val="005C4281"/>
    <w:rsid w:val="005C4450"/>
    <w:rsid w:val="005C502F"/>
    <w:rsid w:val="005C5A64"/>
    <w:rsid w:val="005C5ED7"/>
    <w:rsid w:val="005C5F96"/>
    <w:rsid w:val="005C61A7"/>
    <w:rsid w:val="005C6A95"/>
    <w:rsid w:val="005C6E40"/>
    <w:rsid w:val="005C748C"/>
    <w:rsid w:val="005C78A5"/>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9C8"/>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6B1"/>
    <w:rsid w:val="00600723"/>
    <w:rsid w:val="00600D82"/>
    <w:rsid w:val="006017E3"/>
    <w:rsid w:val="00601914"/>
    <w:rsid w:val="00601AA7"/>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E7D"/>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B68"/>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01"/>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97E11"/>
    <w:rsid w:val="006A0044"/>
    <w:rsid w:val="006A054A"/>
    <w:rsid w:val="006A0665"/>
    <w:rsid w:val="006A0801"/>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D92"/>
    <w:rsid w:val="006B23E0"/>
    <w:rsid w:val="006B2A65"/>
    <w:rsid w:val="006B2BEE"/>
    <w:rsid w:val="006B2EDC"/>
    <w:rsid w:val="006B3106"/>
    <w:rsid w:val="006B3406"/>
    <w:rsid w:val="006B3812"/>
    <w:rsid w:val="006B3ED4"/>
    <w:rsid w:val="006B4156"/>
    <w:rsid w:val="006B4277"/>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8E"/>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C1C"/>
    <w:rsid w:val="006E2DB5"/>
    <w:rsid w:val="006E3812"/>
    <w:rsid w:val="006E434A"/>
    <w:rsid w:val="006E43EF"/>
    <w:rsid w:val="006E4816"/>
    <w:rsid w:val="006E4A4C"/>
    <w:rsid w:val="006E509D"/>
    <w:rsid w:val="006E580F"/>
    <w:rsid w:val="006E5A34"/>
    <w:rsid w:val="006E5C2E"/>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6CFA"/>
    <w:rsid w:val="00707818"/>
    <w:rsid w:val="0070791A"/>
    <w:rsid w:val="00707A2B"/>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B0D"/>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A05"/>
    <w:rsid w:val="00743083"/>
    <w:rsid w:val="0074311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0676"/>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9FC"/>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5BA"/>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42A"/>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179"/>
    <w:rsid w:val="00794895"/>
    <w:rsid w:val="00795BA6"/>
    <w:rsid w:val="00795F06"/>
    <w:rsid w:val="00796FB4"/>
    <w:rsid w:val="00797471"/>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56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A07"/>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B9B"/>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A2D"/>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271"/>
    <w:rsid w:val="00875410"/>
    <w:rsid w:val="00875CEF"/>
    <w:rsid w:val="00876620"/>
    <w:rsid w:val="008767A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9C1"/>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2C"/>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2ED6"/>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C7F"/>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C9"/>
    <w:rsid w:val="009808EF"/>
    <w:rsid w:val="0098096E"/>
    <w:rsid w:val="00980FF5"/>
    <w:rsid w:val="009810E6"/>
    <w:rsid w:val="00981F78"/>
    <w:rsid w:val="00982761"/>
    <w:rsid w:val="00982C10"/>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0EDD"/>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693"/>
    <w:rsid w:val="009F7762"/>
    <w:rsid w:val="009F77D3"/>
    <w:rsid w:val="009F78C2"/>
    <w:rsid w:val="009F7D66"/>
    <w:rsid w:val="00A00F75"/>
    <w:rsid w:val="00A015A8"/>
    <w:rsid w:val="00A016DA"/>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79A"/>
    <w:rsid w:val="00A138C9"/>
    <w:rsid w:val="00A13C05"/>
    <w:rsid w:val="00A13DCB"/>
    <w:rsid w:val="00A13EC0"/>
    <w:rsid w:val="00A14D4C"/>
    <w:rsid w:val="00A15067"/>
    <w:rsid w:val="00A155CB"/>
    <w:rsid w:val="00A15E54"/>
    <w:rsid w:val="00A16419"/>
    <w:rsid w:val="00A171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8E"/>
    <w:rsid w:val="00A2793E"/>
    <w:rsid w:val="00A27B25"/>
    <w:rsid w:val="00A27EBA"/>
    <w:rsid w:val="00A300DB"/>
    <w:rsid w:val="00A305EE"/>
    <w:rsid w:val="00A30AD2"/>
    <w:rsid w:val="00A30AE7"/>
    <w:rsid w:val="00A3113B"/>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1F"/>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4F"/>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B80"/>
    <w:rsid w:val="00A84CAA"/>
    <w:rsid w:val="00A84F70"/>
    <w:rsid w:val="00A85097"/>
    <w:rsid w:val="00A853AE"/>
    <w:rsid w:val="00A85568"/>
    <w:rsid w:val="00A856CA"/>
    <w:rsid w:val="00A85DD1"/>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B1C"/>
    <w:rsid w:val="00AA1EC5"/>
    <w:rsid w:val="00AA202F"/>
    <w:rsid w:val="00AA26AD"/>
    <w:rsid w:val="00AA275D"/>
    <w:rsid w:val="00AA29E7"/>
    <w:rsid w:val="00AA2FFD"/>
    <w:rsid w:val="00AA363D"/>
    <w:rsid w:val="00AA3811"/>
    <w:rsid w:val="00AA39AE"/>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99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2CA"/>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5FE8"/>
    <w:rsid w:val="00B3604D"/>
    <w:rsid w:val="00B3670A"/>
    <w:rsid w:val="00B368DB"/>
    <w:rsid w:val="00B3799F"/>
    <w:rsid w:val="00B37F49"/>
    <w:rsid w:val="00B37F5A"/>
    <w:rsid w:val="00B40186"/>
    <w:rsid w:val="00B40B6C"/>
    <w:rsid w:val="00B4132E"/>
    <w:rsid w:val="00B416AE"/>
    <w:rsid w:val="00B417D0"/>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697"/>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B7B"/>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5FAD"/>
    <w:rsid w:val="00B760F4"/>
    <w:rsid w:val="00B76138"/>
    <w:rsid w:val="00B764A7"/>
    <w:rsid w:val="00B765C6"/>
    <w:rsid w:val="00B767F4"/>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0BAB"/>
    <w:rsid w:val="00BD1589"/>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0BE"/>
    <w:rsid w:val="00BE0287"/>
    <w:rsid w:val="00BE02A5"/>
    <w:rsid w:val="00BE02B4"/>
    <w:rsid w:val="00BE062D"/>
    <w:rsid w:val="00BE0A5A"/>
    <w:rsid w:val="00BE1003"/>
    <w:rsid w:val="00BE10C3"/>
    <w:rsid w:val="00BE126C"/>
    <w:rsid w:val="00BE14E1"/>
    <w:rsid w:val="00BE167C"/>
    <w:rsid w:val="00BE1822"/>
    <w:rsid w:val="00BE1946"/>
    <w:rsid w:val="00BE1C28"/>
    <w:rsid w:val="00BE21FC"/>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52A"/>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AC7"/>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262"/>
    <w:rsid w:val="00C26918"/>
    <w:rsid w:val="00C26B37"/>
    <w:rsid w:val="00C26D4D"/>
    <w:rsid w:val="00C26D51"/>
    <w:rsid w:val="00C26E8C"/>
    <w:rsid w:val="00C27FF2"/>
    <w:rsid w:val="00C3028E"/>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46"/>
    <w:rsid w:val="00C60FAF"/>
    <w:rsid w:val="00C61486"/>
    <w:rsid w:val="00C6163E"/>
    <w:rsid w:val="00C61E49"/>
    <w:rsid w:val="00C62065"/>
    <w:rsid w:val="00C62965"/>
    <w:rsid w:val="00C62AD9"/>
    <w:rsid w:val="00C6341D"/>
    <w:rsid w:val="00C635B9"/>
    <w:rsid w:val="00C63B3B"/>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CD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44"/>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E17"/>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C8A"/>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0FE4"/>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2D2"/>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18E"/>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605"/>
    <w:rsid w:val="00D56BA7"/>
    <w:rsid w:val="00D56CD1"/>
    <w:rsid w:val="00D56E43"/>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45"/>
    <w:rsid w:val="00D72741"/>
    <w:rsid w:val="00D7286C"/>
    <w:rsid w:val="00D73080"/>
    <w:rsid w:val="00D735F5"/>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9E2"/>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68"/>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202"/>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3F54"/>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360"/>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B2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D1F"/>
    <w:rsid w:val="00E34810"/>
    <w:rsid w:val="00E34909"/>
    <w:rsid w:val="00E34AE8"/>
    <w:rsid w:val="00E35A29"/>
    <w:rsid w:val="00E3634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6EB7"/>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45B0"/>
    <w:rsid w:val="00E85201"/>
    <w:rsid w:val="00E85307"/>
    <w:rsid w:val="00E85C2C"/>
    <w:rsid w:val="00E85D04"/>
    <w:rsid w:val="00E861C8"/>
    <w:rsid w:val="00E8659C"/>
    <w:rsid w:val="00E87572"/>
    <w:rsid w:val="00E9088E"/>
    <w:rsid w:val="00E9244C"/>
    <w:rsid w:val="00E92758"/>
    <w:rsid w:val="00E928D8"/>
    <w:rsid w:val="00E92E8B"/>
    <w:rsid w:val="00E933B6"/>
    <w:rsid w:val="00E937BC"/>
    <w:rsid w:val="00E93B23"/>
    <w:rsid w:val="00E93CDE"/>
    <w:rsid w:val="00E93D15"/>
    <w:rsid w:val="00E94255"/>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16"/>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325"/>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2B4"/>
    <w:rsid w:val="00EF47B0"/>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035"/>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0E9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30F"/>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6CD9"/>
    <w:rsid w:val="00F37392"/>
    <w:rsid w:val="00F37B13"/>
    <w:rsid w:val="00F401B1"/>
    <w:rsid w:val="00F40A10"/>
    <w:rsid w:val="00F41F34"/>
    <w:rsid w:val="00F41F96"/>
    <w:rsid w:val="00F42022"/>
    <w:rsid w:val="00F42AEA"/>
    <w:rsid w:val="00F43148"/>
    <w:rsid w:val="00F43451"/>
    <w:rsid w:val="00F43B65"/>
    <w:rsid w:val="00F43F02"/>
    <w:rsid w:val="00F44085"/>
    <w:rsid w:val="00F443DA"/>
    <w:rsid w:val="00F44613"/>
    <w:rsid w:val="00F44960"/>
    <w:rsid w:val="00F44E27"/>
    <w:rsid w:val="00F4537E"/>
    <w:rsid w:val="00F45BAC"/>
    <w:rsid w:val="00F466A4"/>
    <w:rsid w:val="00F467DA"/>
    <w:rsid w:val="00F46905"/>
    <w:rsid w:val="00F469A2"/>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234"/>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778D7"/>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7E"/>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2EA"/>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466"/>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B9A"/>
    <w:rsid w:val="00FD294C"/>
    <w:rsid w:val="00FD2E86"/>
    <w:rsid w:val="00FD385F"/>
    <w:rsid w:val="00FD39C8"/>
    <w:rsid w:val="00FD3D0B"/>
    <w:rsid w:val="00FD3DB9"/>
    <w:rsid w:val="00FD409B"/>
    <w:rsid w:val="00FD4C08"/>
    <w:rsid w:val="00FD504A"/>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52"/>
    <w:rsid w:val="00FE2D98"/>
    <w:rsid w:val="00FE30BC"/>
    <w:rsid w:val="00FE380A"/>
    <w:rsid w:val="00FE3CDD"/>
    <w:rsid w:val="00FE4DBB"/>
    <w:rsid w:val="00FE536D"/>
    <w:rsid w:val="00FE5F99"/>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96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449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96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F20E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239475">
      <w:bodyDiv w:val="1"/>
      <w:marLeft w:val="0"/>
      <w:marRight w:val="0"/>
      <w:marTop w:val="0"/>
      <w:marBottom w:val="0"/>
      <w:divBdr>
        <w:top w:val="none" w:sz="0" w:space="0" w:color="auto"/>
        <w:left w:val="none" w:sz="0" w:space="0" w:color="auto"/>
        <w:bottom w:val="none" w:sz="0" w:space="0" w:color="auto"/>
        <w:right w:val="none" w:sz="0" w:space="0" w:color="auto"/>
      </w:divBdr>
    </w:div>
    <w:div w:id="13287305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83994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99044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9A9E2-4CFF-4FDE-93E0-538BB9B2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2019-08-14T11:31:00Z</dcterms:created>
  <dcterms:modified xsi:type="dcterms:W3CDTF">2019-11-08T08:03:00Z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